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389A3" w14:textId="77777777" w:rsidR="00000000" w:rsidRDefault="005825B6">
      <w:pPr>
        <w:pStyle w:val="Nadpis1"/>
      </w:pPr>
      <w:r>
        <w:t>SPLIT</w:t>
      </w:r>
    </w:p>
    <w:p w14:paraId="71641ABD" w14:textId="77777777" w:rsidR="00000000" w:rsidRDefault="005825B6">
      <w:pPr>
        <w:pStyle w:val="Zkladntext"/>
        <w:rPr>
          <w:rFonts w:cs="Calibri"/>
          <w:sz w:val="20"/>
        </w:rPr>
      </w:pPr>
      <w:r>
        <w:rPr>
          <w:sz w:val="20"/>
        </w:rPr>
        <w:t>- Historie</w:t>
      </w:r>
      <w:r>
        <w:rPr>
          <w:sz w:val="20"/>
        </w:rPr>
        <w:br/>
        <w:t xml:space="preserve">- </w:t>
      </w:r>
      <w:r>
        <w:rPr>
          <w:rFonts w:eastAsia="Times New Roman"/>
          <w:bCs w:val="0"/>
          <w:sz w:val="20"/>
        </w:rPr>
        <w:t xml:space="preserve">Hlavní památka: </w:t>
      </w:r>
      <w:r>
        <w:rPr>
          <w:sz w:val="20"/>
        </w:rPr>
        <w:t>Diokleciánův palác (Dioklecijanova palača)</w:t>
      </w:r>
      <w:r>
        <w:rPr>
          <w:sz w:val="20"/>
        </w:rPr>
        <w:br/>
        <w:t>- Pamětihodnosti mimo palácové hradby</w:t>
      </w:r>
      <w:r>
        <w:rPr>
          <w:sz w:val="20"/>
        </w:rPr>
        <w:br/>
        <w:t>- Výlety</w:t>
      </w:r>
    </w:p>
    <w:p w14:paraId="2862AD69" w14:textId="77777777" w:rsidR="00000000" w:rsidRDefault="005825B6">
      <w:pPr>
        <w:pStyle w:val="Zkladntex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00000" w14:paraId="54898F5B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6CA36C95" w14:textId="77777777" w:rsidR="00000000" w:rsidRDefault="005825B6">
            <w:pPr>
              <w:pStyle w:val="Normlnweb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bCs/>
              </w:rPr>
              <w:t xml:space="preserve">Split </w:t>
            </w:r>
            <w:r>
              <w:rPr>
                <w:rFonts w:ascii="Calibri" w:hAnsi="Calibri"/>
              </w:rPr>
              <w:t>(řec.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</w:rPr>
              <w:t>Aspálathos, Spálathos, lat. Spalatum, Aspalatum, dalm. Spalatrum, Spalatro, chorv. Split, Spljet, ital. Spalato) je ne</w:t>
            </w:r>
            <w:r>
              <w:rPr>
                <w:rFonts w:ascii="Calibri" w:hAnsi="Calibri"/>
              </w:rPr>
              <w:t>jvětší město na chorvatském pobřeží, hlavní hospodářské, kulturní a dopravní středisko Dalmácie (200 tis. obyv.). Split leží na poloostrově mezi Kaštelským zálivem a Splitským průlivem, jehož západní část zaujímá kopec Marjan s krásným lesoparkem. Pohoří K</w:t>
            </w:r>
            <w:r>
              <w:rPr>
                <w:rFonts w:ascii="Calibri" w:hAnsi="Calibri"/>
              </w:rPr>
              <w:t>ozjak a Mosor chrání město ze severu a severovýchodu před vnitrozemskými vlivy.</w:t>
            </w:r>
          </w:p>
        </w:tc>
      </w:tr>
    </w:tbl>
    <w:p w14:paraId="3C4D8062" w14:textId="77777777" w:rsidR="00000000" w:rsidRDefault="005825B6">
      <w:pPr>
        <w:pStyle w:val="Normlnweb"/>
        <w:rPr>
          <w:rFonts w:ascii="Calibri" w:hAnsi="Calibri"/>
        </w:rPr>
      </w:pPr>
      <w:r>
        <w:rPr>
          <w:rFonts w:ascii="Calibri" w:hAnsi="Calibri"/>
        </w:rPr>
        <w:pict w14:anchorId="3FE770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340.5pt">
            <v:imagedata r:id="rId5" o:title="split_map01"/>
          </v:shape>
        </w:pict>
      </w:r>
    </w:p>
    <w:p w14:paraId="0442FFC7" w14:textId="77777777" w:rsidR="00000000" w:rsidRDefault="005825B6">
      <w:pPr>
        <w:pStyle w:val="Normlnweb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Podnebí Splitu je středomořské, s velmi suchými teplými léty; průměrná teplota v červenci dosahuje 26,2 °C, zimy jsou vlhké a mírné. Split náleží se svým sedmihodinovým ročn</w:t>
      </w:r>
      <w:r>
        <w:rPr>
          <w:rFonts w:ascii="Calibri" w:hAnsi="Calibri"/>
          <w:sz w:val="20"/>
        </w:rPr>
        <w:t>ím průměrem insolace k nejslunnějším místům v Evropě (na Jadranu zaujímá druhé místo těsně za Hvarem). V okolí se pěstuje ovoce, zelenina a vinná réva.</w:t>
      </w:r>
    </w:p>
    <w:p w14:paraId="195B3669" w14:textId="77777777" w:rsidR="00000000" w:rsidRDefault="005825B6">
      <w:pPr>
        <w:pStyle w:val="Normlnweb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Split má nejvýznamnější osobní a důležitý nákladní přístav, letiště (</w:t>
      </w:r>
      <w:proofErr w:type="gramStart"/>
      <w:r>
        <w:rPr>
          <w:rFonts w:ascii="Calibri" w:hAnsi="Calibri"/>
          <w:sz w:val="20"/>
        </w:rPr>
        <w:t>Split - Kaštela</w:t>
      </w:r>
      <w:proofErr w:type="gramEnd"/>
      <w:r>
        <w:rPr>
          <w:rFonts w:ascii="Calibri" w:hAnsi="Calibri"/>
          <w:sz w:val="20"/>
        </w:rPr>
        <w:t>, 20 km, vlakové nád</w:t>
      </w:r>
      <w:r>
        <w:rPr>
          <w:rFonts w:ascii="Calibri" w:hAnsi="Calibri"/>
          <w:sz w:val="20"/>
        </w:rPr>
        <w:t>raží (železniční trať přes Knin do Záhřebu), velké autobusové nádraží.</w:t>
      </w:r>
    </w:p>
    <w:p w14:paraId="5B4307B3" w14:textId="77777777" w:rsidR="00000000" w:rsidRDefault="005825B6">
      <w:pPr>
        <w:pStyle w:val="Normlnweb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Historie</w:t>
      </w:r>
    </w:p>
    <w:p w14:paraId="358B48A7" w14:textId="77777777" w:rsidR="00000000" w:rsidRDefault="005825B6">
      <w:pPr>
        <w:rPr>
          <w:sz w:val="20"/>
        </w:rPr>
      </w:pPr>
      <w:r>
        <w:rPr>
          <w:sz w:val="20"/>
        </w:rPr>
        <w:t xml:space="preserve">Původní ilyrsko-řeckou osadu Aspalathos si vybral císař Dioklecián za místo pro svou rezidenci po abdikaci (pocházel ze sousedních Salon, byl Ilyr). Zde žil do smrti a byl zde </w:t>
      </w:r>
      <w:r>
        <w:rPr>
          <w:sz w:val="20"/>
        </w:rPr>
        <w:t xml:space="preserve">i pohřben. Palác pak sloužil jako útočiště </w:t>
      </w:r>
      <w:r>
        <w:rPr>
          <w:sz w:val="20"/>
        </w:rPr>
        <w:lastRenderedPageBreak/>
        <w:t>sesazených římských císařů a jejich rodin. Ve Splitu, v jeho pevných hradbách našli nový bezpečný domov utečenci ze sousedních Salon po jejich zničení Avary a Slovany v 6. stol.</w:t>
      </w:r>
    </w:p>
    <w:p w14:paraId="3B6EF45A" w14:textId="77777777" w:rsidR="00000000" w:rsidRDefault="005825B6">
      <w:pPr>
        <w:rPr>
          <w:sz w:val="20"/>
        </w:rPr>
      </w:pPr>
      <w:r>
        <w:rPr>
          <w:sz w:val="20"/>
        </w:rPr>
        <w:t>Split se stal v 5. stol. biskupským</w:t>
      </w:r>
      <w:r>
        <w:rPr>
          <w:sz w:val="20"/>
        </w:rPr>
        <w:t xml:space="preserve"> sídlem. Za chorvatských králů došlo k jeho opětovnému rozkvětu, stejně jako za chorvatsko-uherských králů, za nichž Split získal autonomii. V 15. stol. přervala tento úspěšný rozvoj Benátská republika, která jej zbavila všech práv a svobod.</w:t>
      </w:r>
    </w:p>
    <w:p w14:paraId="2AA0F7B0" w14:textId="77777777" w:rsidR="00000000" w:rsidRDefault="005825B6">
      <w:pPr>
        <w:rPr>
          <w:sz w:val="20"/>
        </w:rPr>
      </w:pPr>
      <w:r>
        <w:rPr>
          <w:sz w:val="20"/>
        </w:rPr>
        <w:t xml:space="preserve">V 16. stol. v </w:t>
      </w:r>
      <w:r>
        <w:rPr>
          <w:sz w:val="20"/>
        </w:rPr>
        <w:t xml:space="preserve">období humanismu bylo město důležitým střediskem chorvatské kultury. Nejvýznamnějším představitelem humanismu ve Splitu byl splitský </w:t>
      </w:r>
      <w:proofErr w:type="gramStart"/>
      <w:r>
        <w:rPr>
          <w:sz w:val="20"/>
        </w:rPr>
        <w:t>rodák - filozof</w:t>
      </w:r>
      <w:proofErr w:type="gramEnd"/>
      <w:r>
        <w:rPr>
          <w:sz w:val="20"/>
        </w:rPr>
        <w:t>, spisovatel a učenec evropského formátu Marko Marulić, mimo jiné autor první tištěné knihy v chorvatštině.</w:t>
      </w:r>
    </w:p>
    <w:p w14:paraId="7C4AF05A" w14:textId="77777777" w:rsidR="00000000" w:rsidRDefault="005825B6">
      <w:pPr>
        <w:rPr>
          <w:sz w:val="20"/>
        </w:rPr>
      </w:pPr>
      <w:r>
        <w:rPr>
          <w:sz w:val="20"/>
        </w:rPr>
        <w:t>Od 16. stol. byl Split ve stálém nebezpečím tureckých nájezdů. Hranice území ovládaného Benátskou republikou a tureckou říší vedla sousedním Solinem, na říčce Jadro.</w:t>
      </w:r>
    </w:p>
    <w:p w14:paraId="61F3AF98" w14:textId="77777777" w:rsidR="00000000" w:rsidRDefault="005825B6">
      <w:pPr>
        <w:rPr>
          <w:sz w:val="20"/>
        </w:rPr>
      </w:pPr>
      <w:r>
        <w:rPr>
          <w:sz w:val="20"/>
        </w:rPr>
        <w:t>Znovuoživení přišlo až po pádu Benátské republiky koncem 18. stol., za krátkého francouzsk</w:t>
      </w:r>
      <w:r>
        <w:rPr>
          <w:sz w:val="20"/>
        </w:rPr>
        <w:t>ého panství. Za následující rakouské vlády byl Split jedním z hlavních ohnisek boje za národní obrození a uvědomění Chorvatů. V r. 1918 se stal spolu s celou Dalmácií součástí Království Srbů, Chorvatů a Slovinců. Za druhé světové války byl okupován Italy,</w:t>
      </w:r>
      <w:r>
        <w:rPr>
          <w:sz w:val="20"/>
        </w:rPr>
        <w:t xml:space="preserve"> po nich Němci. Osvobozen byl v r. 1944 a byl vrácen Chorvatsku v rámci Jugoslávie.</w:t>
      </w:r>
    </w:p>
    <w:p w14:paraId="5CA440A5" w14:textId="77777777" w:rsidR="00000000" w:rsidRDefault="005825B6">
      <w:pPr>
        <w:pStyle w:val="Normlnweb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Hlavní památka: Diokleciánův palác (Dioklecijanova palača)</w:t>
      </w:r>
    </w:p>
    <w:p w14:paraId="2450DF65" w14:textId="77777777" w:rsidR="00000000" w:rsidRDefault="005825B6">
      <w:pPr>
        <w:rPr>
          <w:sz w:val="20"/>
        </w:rPr>
      </w:pPr>
      <w:r>
        <w:rPr>
          <w:sz w:val="20"/>
        </w:rPr>
        <w:t xml:space="preserve">Vybudován na přelomu 3. a 4. stol. římským císařem Diokleciánem jako jeho sídlo po abdikaci v r. 305. Dioklecián </w:t>
      </w:r>
      <w:r>
        <w:rPr>
          <w:sz w:val="20"/>
        </w:rPr>
        <w:t>pocházel ze sousedních Salon (Salonae, dnešní Solin), hlavního města římské provincie Dalmácie. Tam se narodil jako syn propuštěného ilyrského otroka. Palác vybudován jako přepychové reprezentační sídlo obrovských rozměrů a zároveň jako opevněný vojenský t</w:t>
      </w:r>
      <w:r>
        <w:rPr>
          <w:sz w:val="20"/>
        </w:rPr>
        <w:t>ábor; mísí se v něm antické prvky s východními.</w:t>
      </w:r>
    </w:p>
    <w:p w14:paraId="4D96FD48" w14:textId="77777777" w:rsidR="00000000" w:rsidRDefault="005825B6">
      <w:pPr>
        <w:pStyle w:val="Zkladntext"/>
        <w:spacing w:after="200" w:line="276" w:lineRule="auto"/>
        <w:rPr>
          <w:rFonts w:eastAsia="Times New Roman"/>
          <w:bCs w:val="0"/>
          <w:sz w:val="20"/>
        </w:rPr>
      </w:pPr>
      <w:r>
        <w:rPr>
          <w:rFonts w:eastAsia="Times New Roman"/>
          <w:bCs w:val="0"/>
          <w:sz w:val="20"/>
        </w:rPr>
        <w:t>Město Split se od začátku rozvíjelo nejprve uvnitř hradeb opuštěného paláce, upravovaného a přestavovaného podle potřeby usedlíků. Ještě dnes žijí uvnitř jeho hradeb téměř tři tisíce lidí.</w:t>
      </w:r>
    </w:p>
    <w:p w14:paraId="347F99F5" w14:textId="77777777" w:rsidR="00000000" w:rsidRDefault="005825B6">
      <w:pPr>
        <w:pStyle w:val="Normlnweb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K hlavním pozoruhod</w:t>
      </w:r>
      <w:r>
        <w:rPr>
          <w:rFonts w:ascii="Calibri" w:hAnsi="Calibri"/>
          <w:sz w:val="20"/>
        </w:rPr>
        <w:t>nostem paláce patří:</w:t>
      </w:r>
    </w:p>
    <w:p w14:paraId="1E422DF0" w14:textId="77777777" w:rsidR="00000000" w:rsidRDefault="005825B6">
      <w:pPr>
        <w:numPr>
          <w:ilvl w:val="0"/>
          <w:numId w:val="1"/>
        </w:numPr>
        <w:spacing w:before="100" w:beforeAutospacing="1" w:after="100" w:afterAutospacing="1"/>
        <w:rPr>
          <w:sz w:val="20"/>
        </w:rPr>
      </w:pPr>
      <w:r>
        <w:rPr>
          <w:sz w:val="20"/>
        </w:rPr>
        <w:t>Zachované opevnění paláce, především hradby a tři brány: Zlatá brána (Zlatna vrata</w:t>
      </w:r>
      <w:proofErr w:type="gramStart"/>
      <w:r>
        <w:rPr>
          <w:sz w:val="20"/>
        </w:rPr>
        <w:t>) ,</w:t>
      </w:r>
      <w:proofErr w:type="gramEnd"/>
      <w:r>
        <w:rPr>
          <w:sz w:val="20"/>
        </w:rPr>
        <w:t xml:space="preserve"> Stříbrná brána (Srebrena vrata) a Železná brána (Gvozdena vrata). Čtvrtá brána, Měděná </w:t>
      </w:r>
      <w:proofErr w:type="gramStart"/>
      <w:r>
        <w:rPr>
          <w:sz w:val="20"/>
        </w:rPr>
        <w:t>brána( Mjedena</w:t>
      </w:r>
      <w:proofErr w:type="gramEnd"/>
      <w:r>
        <w:rPr>
          <w:sz w:val="20"/>
        </w:rPr>
        <w:t xml:space="preserve"> vrata), která byla vstupem z moře, se nedochova</w:t>
      </w:r>
      <w:r>
        <w:rPr>
          <w:sz w:val="20"/>
        </w:rPr>
        <w:t>la. Zlatá brána měla nejbohatší plastickou výzdobu, z níž se dochovaly jen zbytky.</w:t>
      </w:r>
    </w:p>
    <w:p w14:paraId="6BE9132C" w14:textId="77777777" w:rsidR="00000000" w:rsidRDefault="005825B6">
      <w:pPr>
        <w:numPr>
          <w:ilvl w:val="0"/>
          <w:numId w:val="1"/>
        </w:numPr>
        <w:spacing w:before="100" w:beforeAutospacing="1" w:after="100" w:afterAutospacing="1"/>
        <w:rPr>
          <w:sz w:val="20"/>
        </w:rPr>
      </w:pPr>
      <w:r>
        <w:rPr>
          <w:sz w:val="20"/>
        </w:rPr>
        <w:t xml:space="preserve">Sklepní prostory, tzv. substrukce k vyrovnání terénu, největší dochovaný římský krytý prostor na světě. Vyčištěné a zpřístupněné poskytují dokonalou představu o prostorovém </w:t>
      </w:r>
      <w:r>
        <w:rPr>
          <w:sz w:val="20"/>
        </w:rPr>
        <w:t xml:space="preserve">členění, architektonickém řešení a vzhledu někdejších císařských síní, které byly nad nimi. Jsou částečně využívána ke galerijním účelům a patří k nejpůsobivějším dochovaným částem paláce. Vchod je </w:t>
      </w:r>
      <w:proofErr w:type="gramStart"/>
      <w:r>
        <w:rPr>
          <w:sz w:val="20"/>
        </w:rPr>
        <w:t>s</w:t>
      </w:r>
      <w:proofErr w:type="gramEnd"/>
      <w:r>
        <w:rPr>
          <w:sz w:val="20"/>
        </w:rPr>
        <w:t xml:space="preserve"> nábřeží. Ze sklepních prostor pak vede schodiště na peri</w:t>
      </w:r>
      <w:r>
        <w:rPr>
          <w:sz w:val="20"/>
        </w:rPr>
        <w:t>styl.</w:t>
      </w:r>
    </w:p>
    <w:p w14:paraId="679167A8" w14:textId="77777777" w:rsidR="00000000" w:rsidRDefault="005825B6">
      <w:pPr>
        <w:numPr>
          <w:ilvl w:val="0"/>
          <w:numId w:val="1"/>
        </w:numPr>
        <w:spacing w:before="100" w:beforeAutospacing="1" w:after="100" w:afterAutospacing="1"/>
        <w:rPr>
          <w:sz w:val="20"/>
        </w:rPr>
      </w:pPr>
      <w:r>
        <w:rPr>
          <w:sz w:val="20"/>
        </w:rPr>
        <w:t>Diokleciánovo mauzoleum, přeměněné v raném středověku v mariánskou katedrálu, později katedrálu sv. Domnia (Sveti Dujam či Duje), místního mučedníka a patrona města. V interiéru s původní výzdobou z Diokleciánovy doby řada vynikajících uměleckých děl</w:t>
      </w:r>
      <w:r>
        <w:rPr>
          <w:sz w:val="20"/>
        </w:rPr>
        <w:t xml:space="preserve"> (románské vyřezávané vstupní dveře, řezané lavice, cenné obrazy, reliéfy a oltáře s hroby křesťanských mučedníků).</w:t>
      </w:r>
    </w:p>
    <w:p w14:paraId="50428ECB" w14:textId="77777777" w:rsidR="00000000" w:rsidRDefault="005825B6">
      <w:pPr>
        <w:numPr>
          <w:ilvl w:val="0"/>
          <w:numId w:val="1"/>
        </w:numPr>
        <w:spacing w:before="100" w:beforeAutospacing="1" w:after="100" w:afterAutospacing="1"/>
        <w:rPr>
          <w:sz w:val="20"/>
        </w:rPr>
      </w:pPr>
      <w:r>
        <w:rPr>
          <w:sz w:val="20"/>
        </w:rPr>
        <w:t>Zvonice katedrály ze 13. - 15. stol., dnes přístupná vynikající vyhlídková věž.</w:t>
      </w:r>
    </w:p>
    <w:p w14:paraId="246CD7C4" w14:textId="77777777" w:rsidR="00000000" w:rsidRDefault="005825B6">
      <w:pPr>
        <w:numPr>
          <w:ilvl w:val="0"/>
          <w:numId w:val="1"/>
        </w:numPr>
        <w:spacing w:before="100" w:beforeAutospacing="1" w:after="100" w:afterAutospacing="1"/>
        <w:rPr>
          <w:sz w:val="20"/>
        </w:rPr>
      </w:pPr>
      <w:r>
        <w:rPr>
          <w:sz w:val="20"/>
        </w:rPr>
        <w:t>Krypta mauzolea, dnes kaple sv. Lucie, přístupná. Nově se př</w:t>
      </w:r>
      <w:r>
        <w:rPr>
          <w:sz w:val="20"/>
        </w:rPr>
        <w:t>edpokládá, že v době výstavby paláce sloužila pro ubytování otroků pracujících na stavbě.</w:t>
      </w:r>
    </w:p>
    <w:p w14:paraId="7E9E41C2" w14:textId="77777777" w:rsidR="00000000" w:rsidRDefault="005825B6">
      <w:pPr>
        <w:numPr>
          <w:ilvl w:val="0"/>
          <w:numId w:val="1"/>
        </w:numPr>
        <w:spacing w:before="100" w:beforeAutospacing="1" w:after="100" w:afterAutospacing="1"/>
        <w:rPr>
          <w:sz w:val="20"/>
        </w:rPr>
      </w:pPr>
      <w:r>
        <w:rPr>
          <w:sz w:val="20"/>
        </w:rPr>
        <w:t>Klenotnice a knihovna s vynikajícími uměleckými díly, přístupná.</w:t>
      </w:r>
    </w:p>
    <w:p w14:paraId="184D9B3A" w14:textId="77777777" w:rsidR="00000000" w:rsidRDefault="005825B6">
      <w:pPr>
        <w:numPr>
          <w:ilvl w:val="0"/>
          <w:numId w:val="1"/>
        </w:numPr>
        <w:spacing w:before="100" w:beforeAutospacing="1" w:after="100" w:afterAutospacing="1"/>
        <w:rPr>
          <w:sz w:val="20"/>
        </w:rPr>
      </w:pPr>
      <w:r>
        <w:rPr>
          <w:sz w:val="20"/>
        </w:rPr>
        <w:t>Římský peristyl, vnitřní nádvoří paláce se sloupovým ochozem, zakončený prothyronem (má nyní po stran</w:t>
      </w:r>
      <w:r>
        <w:rPr>
          <w:sz w:val="20"/>
        </w:rPr>
        <w:t xml:space="preserve">ách dvě mariánské kapličky), kde kdysi stával Diokleciánův trůn, odtud přes dochovaný vestibul (nyní bez zastřešení) vedl vstup do císařových komnat. Odkryté zbytky výzdoby císařských sálů se v </w:t>
      </w:r>
      <w:r>
        <w:rPr>
          <w:sz w:val="20"/>
        </w:rPr>
        <w:lastRenderedPageBreak/>
        <w:t>detailech zachovaly. Jižní část soukromých císařských komnat t</w:t>
      </w:r>
      <w:r>
        <w:rPr>
          <w:sz w:val="20"/>
        </w:rPr>
        <w:t>vořil nedochovaný kryptoportikus, velká arkádová chodba s výhledem na moře. Odryty i zbytky lázní, therm.</w:t>
      </w:r>
    </w:p>
    <w:p w14:paraId="7448BB56" w14:textId="77777777" w:rsidR="00000000" w:rsidRDefault="005825B6">
      <w:pPr>
        <w:numPr>
          <w:ilvl w:val="0"/>
          <w:numId w:val="1"/>
        </w:numPr>
        <w:spacing w:before="100" w:beforeAutospacing="1" w:after="100" w:afterAutospacing="1"/>
        <w:rPr>
          <w:sz w:val="20"/>
        </w:rPr>
      </w:pPr>
      <w:r>
        <w:rPr>
          <w:sz w:val="20"/>
        </w:rPr>
        <w:t xml:space="preserve">Jupiterův chrám, má původní římskou plastickou výzdoba a unikátní valenou klenbu. V 8. stol. byl přeměněn v křesťanskou křestní </w:t>
      </w:r>
      <w:proofErr w:type="gramStart"/>
      <w:r>
        <w:rPr>
          <w:sz w:val="20"/>
        </w:rPr>
        <w:t>kapli - baptisterium</w:t>
      </w:r>
      <w:proofErr w:type="gramEnd"/>
      <w:r>
        <w:rPr>
          <w:sz w:val="20"/>
        </w:rPr>
        <w:t xml:space="preserve"> s</w:t>
      </w:r>
      <w:r>
        <w:rPr>
          <w:sz w:val="20"/>
        </w:rPr>
        <w:t xml:space="preserve">v. Jana Křtitele (Sveti Ivan Krstitelj). Křtitelnice, dílo starochorvatských kameníků a sochařů, je nestarší raně středověká památka Splitu. </w:t>
      </w:r>
    </w:p>
    <w:p w14:paraId="2547C615" w14:textId="77777777" w:rsidR="00000000" w:rsidRDefault="005825B6">
      <w:pPr>
        <w:numPr>
          <w:ilvl w:val="0"/>
          <w:numId w:val="1"/>
        </w:numPr>
        <w:spacing w:before="100" w:beforeAutospacing="1" w:after="100" w:afterAutospacing="1"/>
        <w:rPr>
          <w:sz w:val="20"/>
        </w:rPr>
      </w:pPr>
      <w:r>
        <w:rPr>
          <w:sz w:val="20"/>
        </w:rPr>
        <w:t>Četné cenné románské, gotické, renesanční a barokní paláce (Ivelliů, Papalićů, Marulićů, Cindrů, J. Dalmatince).</w:t>
      </w:r>
    </w:p>
    <w:p w14:paraId="4D86E693" w14:textId="77777777" w:rsidR="00000000" w:rsidRDefault="005825B6">
      <w:pPr>
        <w:numPr>
          <w:ilvl w:val="0"/>
          <w:numId w:val="1"/>
        </w:numPr>
        <w:spacing w:before="100" w:beforeAutospacing="1" w:after="100" w:afterAutospacing="1"/>
        <w:rPr>
          <w:sz w:val="20"/>
        </w:rPr>
      </w:pPr>
      <w:r>
        <w:rPr>
          <w:sz w:val="20"/>
        </w:rPr>
        <w:t>K</w:t>
      </w:r>
      <w:r>
        <w:rPr>
          <w:sz w:val="20"/>
        </w:rPr>
        <w:t>ostelíky: renesanční kostelík sv. Rocha (</w:t>
      </w:r>
      <w:r>
        <w:rPr>
          <w:i/>
          <w:iCs/>
          <w:sz w:val="20"/>
        </w:rPr>
        <w:t>Sveti rok),</w:t>
      </w:r>
      <w:r>
        <w:rPr>
          <w:sz w:val="20"/>
        </w:rPr>
        <w:t xml:space="preserve"> kostelíky ve Zlaté bráně a v Železné bráně (kostelík v Železné bráně je v generální opravě, nepřístupný).</w:t>
      </w:r>
    </w:p>
    <w:p w14:paraId="4B48722A" w14:textId="77777777" w:rsidR="00000000" w:rsidRDefault="005825B6">
      <w:pPr>
        <w:pStyle w:val="Normlnweb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Pamětihodnosti mimo palácové hradby </w:t>
      </w:r>
    </w:p>
    <w:p w14:paraId="35508A27" w14:textId="77777777" w:rsidR="00000000" w:rsidRDefault="005825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4"/>
        </w:rPr>
      </w:pPr>
      <w:r>
        <w:rPr>
          <w:sz w:val="20"/>
        </w:rPr>
        <w:t>Socha biskupa Řehoře Ninského (Grgur Ninski), středověkého b</w:t>
      </w:r>
      <w:r>
        <w:rPr>
          <w:sz w:val="20"/>
        </w:rPr>
        <w:t>ojovníka za slovanskou liturgii, dílo I. Meštroviće, vynikajícího chorvatského sochaře první poloviny 20. stol.</w:t>
      </w:r>
    </w:p>
    <w:p w14:paraId="6DD0CC49" w14:textId="77777777" w:rsidR="00000000" w:rsidRDefault="005825B6">
      <w:pPr>
        <w:numPr>
          <w:ilvl w:val="0"/>
          <w:numId w:val="2"/>
        </w:numPr>
        <w:spacing w:before="100" w:beforeAutospacing="1" w:after="100" w:afterAutospacing="1"/>
        <w:rPr>
          <w:sz w:val="20"/>
        </w:rPr>
      </w:pPr>
      <w:r>
        <w:rPr>
          <w:sz w:val="20"/>
        </w:rPr>
        <w:t>Národní náměstí (Narodni trg) s paláci Karepićů a Cambiů.</w:t>
      </w:r>
    </w:p>
    <w:p w14:paraId="7E3A0FB7" w14:textId="77777777" w:rsidR="00000000" w:rsidRDefault="005825B6">
      <w:pPr>
        <w:numPr>
          <w:ilvl w:val="0"/>
          <w:numId w:val="2"/>
        </w:numPr>
        <w:spacing w:before="100" w:beforeAutospacing="1" w:after="100" w:afterAutospacing="1"/>
        <w:rPr>
          <w:sz w:val="20"/>
        </w:rPr>
      </w:pPr>
      <w:r>
        <w:rPr>
          <w:sz w:val="20"/>
        </w:rPr>
        <w:t>Náměstí Bratří Radićů (Trg Braće Radića) s palácem-muzeem, sochou Marka Maruliće, bená</w:t>
      </w:r>
      <w:r>
        <w:rPr>
          <w:sz w:val="20"/>
        </w:rPr>
        <w:t xml:space="preserve">tskou opevněnou Hrvojovou věží (Hrvojev toranj). </w:t>
      </w:r>
    </w:p>
    <w:p w14:paraId="1479E1C9" w14:textId="77777777" w:rsidR="00000000" w:rsidRDefault="005825B6">
      <w:pPr>
        <w:numPr>
          <w:ilvl w:val="0"/>
          <w:numId w:val="2"/>
        </w:numPr>
        <w:spacing w:before="100" w:beforeAutospacing="1" w:after="100" w:afterAutospacing="1"/>
        <w:rPr>
          <w:sz w:val="20"/>
        </w:rPr>
      </w:pPr>
      <w:r>
        <w:rPr>
          <w:sz w:val="20"/>
        </w:rPr>
        <w:t>Kostel sv. Františka a františkánský klášter (Sveti Frane, franjevački samostan), románsko-gotická křížová chodba, náhrobky významných historických osobností.</w:t>
      </w:r>
    </w:p>
    <w:p w14:paraId="22D78AB4" w14:textId="77777777" w:rsidR="00000000" w:rsidRDefault="005825B6">
      <w:pPr>
        <w:numPr>
          <w:ilvl w:val="0"/>
          <w:numId w:val="2"/>
        </w:numPr>
        <w:spacing w:before="100" w:beforeAutospacing="1" w:after="100" w:afterAutospacing="1"/>
        <w:rPr>
          <w:sz w:val="20"/>
        </w:rPr>
      </w:pPr>
      <w:r>
        <w:rPr>
          <w:sz w:val="20"/>
        </w:rPr>
        <w:t>Městská čtvrť Poljud s františkánským klášterem</w:t>
      </w:r>
      <w:r>
        <w:rPr>
          <w:sz w:val="20"/>
        </w:rPr>
        <w:t xml:space="preserve">, renesanční křížová chodba s částí někdejšího opevnění, umělecká díla v klenotnici. V sousedství kláštera jsou v této čtvrti dva moderní stadiony klubu Hajduk Split, fotbalový a plavecký. </w:t>
      </w:r>
    </w:p>
    <w:p w14:paraId="41F0D516" w14:textId="77777777" w:rsidR="00000000" w:rsidRDefault="005825B6">
      <w:pPr>
        <w:numPr>
          <w:ilvl w:val="0"/>
          <w:numId w:val="2"/>
        </w:numPr>
        <w:spacing w:before="100" w:beforeAutospacing="1" w:after="100" w:afterAutospacing="1"/>
        <w:rPr>
          <w:sz w:val="20"/>
        </w:rPr>
      </w:pPr>
      <w:r>
        <w:rPr>
          <w:sz w:val="20"/>
        </w:rPr>
        <w:t>Kostel sv. Trojice (Sveto Trojstvo), vynikající památka z 8. až 9.</w:t>
      </w:r>
      <w:r>
        <w:rPr>
          <w:sz w:val="20"/>
        </w:rPr>
        <w:t xml:space="preserve"> stol. Kostel byl v poslední době plně restaurován. Je otevřený jen nepravidelně.</w:t>
      </w:r>
    </w:p>
    <w:p w14:paraId="4F2B8196" w14:textId="77777777" w:rsidR="00000000" w:rsidRDefault="005825B6">
      <w:pPr>
        <w:numPr>
          <w:ilvl w:val="0"/>
          <w:numId w:val="2"/>
        </w:numPr>
        <w:spacing w:before="100" w:beforeAutospacing="1" w:after="100" w:afterAutospacing="1"/>
        <w:rPr>
          <w:sz w:val="20"/>
        </w:rPr>
      </w:pPr>
      <w:r>
        <w:rPr>
          <w:sz w:val="20"/>
        </w:rPr>
        <w:t>Vyhlídkový vrch Marjan s krásným lesoparkem, několik kostelíků z 9. až 15. stol., malé zoo, na úpatí stará lidová čtvrť Veli Varoš se svéráznou architekturou.</w:t>
      </w:r>
    </w:p>
    <w:p w14:paraId="5317341A" w14:textId="77777777" w:rsidR="00000000" w:rsidRDefault="005825B6">
      <w:pPr>
        <w:numPr>
          <w:ilvl w:val="0"/>
          <w:numId w:val="2"/>
        </w:numPr>
        <w:spacing w:before="100" w:beforeAutospacing="1" w:after="100" w:afterAutospacing="1"/>
        <w:rPr>
          <w:sz w:val="20"/>
        </w:rPr>
      </w:pPr>
      <w:r>
        <w:rPr>
          <w:sz w:val="20"/>
        </w:rPr>
        <w:t>Na okraji města</w:t>
      </w:r>
      <w:r>
        <w:rPr>
          <w:sz w:val="20"/>
        </w:rPr>
        <w:t xml:space="preserve"> směrem na Solin římský </w:t>
      </w:r>
      <w:proofErr w:type="gramStart"/>
      <w:r>
        <w:rPr>
          <w:sz w:val="20"/>
        </w:rPr>
        <w:t>vodovod - akvadukt</w:t>
      </w:r>
      <w:proofErr w:type="gramEnd"/>
      <w:r>
        <w:rPr>
          <w:sz w:val="20"/>
        </w:rPr>
        <w:t xml:space="preserve"> ze 3. stol., dosud používán.</w:t>
      </w:r>
    </w:p>
    <w:p w14:paraId="3C36B6C4" w14:textId="77777777" w:rsidR="00000000" w:rsidRDefault="005825B6">
      <w:pPr>
        <w:pStyle w:val="Normlnweb"/>
        <w:rPr>
          <w:rFonts w:ascii="Calibri" w:eastAsia="Calibri" w:hAnsi="Calibri"/>
          <w:b/>
          <w:bCs/>
          <w:sz w:val="22"/>
        </w:rPr>
      </w:pPr>
      <w:r>
        <w:rPr>
          <w:rFonts w:ascii="Calibri" w:eastAsia="Calibri" w:hAnsi="Calibri"/>
          <w:b/>
          <w:bCs/>
          <w:sz w:val="22"/>
        </w:rPr>
        <w:t>Výlety</w:t>
      </w:r>
    </w:p>
    <w:p w14:paraId="1A0E5792" w14:textId="77777777" w:rsidR="00000000" w:rsidRDefault="005825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4"/>
        </w:rPr>
      </w:pPr>
      <w:r>
        <w:rPr>
          <w:sz w:val="20"/>
        </w:rPr>
        <w:t>vrch Marjan s prohlídkou místních středověkých kostelíků, z vrcholu krásný výhled (jezdí tu i turistický ekovláček).</w:t>
      </w:r>
    </w:p>
    <w:p w14:paraId="334231C4" w14:textId="77777777" w:rsidR="00000000" w:rsidRDefault="005825B6">
      <w:pPr>
        <w:numPr>
          <w:ilvl w:val="0"/>
          <w:numId w:val="3"/>
        </w:numPr>
        <w:spacing w:before="100" w:beforeAutospacing="1" w:after="100" w:afterAutospacing="1"/>
        <w:rPr>
          <w:sz w:val="20"/>
        </w:rPr>
      </w:pPr>
      <w:r>
        <w:rPr>
          <w:sz w:val="20"/>
        </w:rPr>
        <w:t>Obec Solin 6 km</w:t>
      </w:r>
    </w:p>
    <w:p w14:paraId="0D7BE8C0" w14:textId="77777777" w:rsidR="00000000" w:rsidRDefault="005825B6">
      <w:pPr>
        <w:numPr>
          <w:ilvl w:val="0"/>
          <w:numId w:val="3"/>
        </w:numPr>
        <w:spacing w:before="100" w:beforeAutospacing="1" w:after="100" w:afterAutospacing="1"/>
        <w:rPr>
          <w:sz w:val="20"/>
        </w:rPr>
      </w:pPr>
      <w:r>
        <w:rPr>
          <w:sz w:val="20"/>
        </w:rPr>
        <w:t>pevnost Klis 12 km, možno prodloužit k jesky</w:t>
      </w:r>
      <w:r>
        <w:rPr>
          <w:sz w:val="20"/>
        </w:rPr>
        <w:t>ni Vranjača</w:t>
      </w:r>
    </w:p>
    <w:p w14:paraId="659CB83B" w14:textId="77777777" w:rsidR="00000000" w:rsidRDefault="005825B6">
      <w:pPr>
        <w:numPr>
          <w:ilvl w:val="0"/>
          <w:numId w:val="3"/>
        </w:numPr>
        <w:spacing w:before="100" w:beforeAutospacing="1" w:after="100" w:afterAutospacing="1"/>
        <w:rPr>
          <w:sz w:val="20"/>
        </w:rPr>
      </w:pPr>
      <w:r>
        <w:rPr>
          <w:sz w:val="20"/>
        </w:rPr>
        <w:t>výlety do pohoří Kozjak nebo Mosor.</w:t>
      </w:r>
    </w:p>
    <w:p w14:paraId="4854AF43" w14:textId="77777777" w:rsidR="00000000" w:rsidRDefault="005825B6">
      <w:pPr>
        <w:spacing w:after="0" w:line="240" w:lineRule="auto"/>
        <w:rPr>
          <w:rFonts w:eastAsia="Calibri" w:cs="Calibri"/>
          <w:iCs/>
        </w:rPr>
      </w:pPr>
      <w:r>
        <w:rPr>
          <w:rFonts w:eastAsia="Calibri" w:cs="Calibri"/>
          <w:iCs/>
        </w:rPr>
        <w:t>Jiří Michal 2016</w:t>
      </w:r>
    </w:p>
    <w:p w14:paraId="73D47288" w14:textId="77777777" w:rsidR="00000000" w:rsidRDefault="005825B6">
      <w:pPr>
        <w:spacing w:after="0" w:line="240" w:lineRule="auto"/>
        <w:rPr>
          <w:rFonts w:eastAsia="Calibri" w:cs="Calibri"/>
          <w:iCs/>
        </w:rPr>
      </w:pPr>
    </w:p>
    <w:p w14:paraId="383AB967" w14:textId="77777777" w:rsidR="005825B6" w:rsidRDefault="005825B6">
      <w:pPr>
        <w:spacing w:after="0" w:line="240" w:lineRule="auto"/>
        <w:rPr>
          <w:rFonts w:eastAsia="Calibri" w:cs="Calibri"/>
          <w:iCs/>
        </w:rPr>
      </w:pPr>
      <w:hyperlink r:id="rId6" w:history="1">
        <w:r>
          <w:rPr>
            <w:rStyle w:val="Hypertextovodkaz"/>
            <w:rFonts w:eastAsia="Calibri" w:cs="Calibri"/>
            <w:iCs/>
          </w:rPr>
          <w:t>www.chorvatsko.cz</w:t>
        </w:r>
      </w:hyperlink>
    </w:p>
    <w:sectPr w:rsidR="00582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A01B0"/>
    <w:multiLevelType w:val="hybridMultilevel"/>
    <w:tmpl w:val="DC2ACE18"/>
    <w:lvl w:ilvl="0" w:tplc="1E34F6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408BA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F18D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94470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BC277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7A8B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AC65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B6AD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7E93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054099"/>
    <w:multiLevelType w:val="hybridMultilevel"/>
    <w:tmpl w:val="F6C0C1EA"/>
    <w:lvl w:ilvl="0" w:tplc="A4C21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60F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5CF1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143A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412F6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CE8DD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9FCBF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8B2AE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38283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6C66D9"/>
    <w:multiLevelType w:val="hybridMultilevel"/>
    <w:tmpl w:val="BBCC2DAC"/>
    <w:lvl w:ilvl="0" w:tplc="7CFC32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7AF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C32FC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D105C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98EF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EEE0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A20E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B8BB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00B5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EF4"/>
    <w:rsid w:val="005825B6"/>
    <w:rsid w:val="00F2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8F460"/>
  <w15:chartTrackingRefBased/>
  <w15:docId w15:val="{477FB76C-3C9B-4313-84A6-E7119554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spacing w:after="0" w:line="240" w:lineRule="auto"/>
      <w:outlineLvl w:val="0"/>
    </w:pPr>
    <w:rPr>
      <w:rFonts w:eastAsia="Calibri"/>
      <w:b/>
      <w:sz w:val="24"/>
    </w:rPr>
  </w:style>
  <w:style w:type="paragraph" w:styleId="Nadpis2">
    <w:name w:val="heading 2"/>
    <w:basedOn w:val="Normln"/>
    <w:next w:val="Normln"/>
    <w:qFormat/>
    <w:pPr>
      <w:keepNext/>
      <w:spacing w:after="0" w:line="240" w:lineRule="auto"/>
      <w:outlineLvl w:val="1"/>
    </w:pPr>
    <w:rPr>
      <w:b/>
      <w:bCs/>
    </w:rPr>
  </w:style>
  <w:style w:type="character" w:default="1" w:styleId="Standardnpsmoodstavce">
    <w:name w:val="Default Paragraph Font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semiHidden/>
    <w:pPr>
      <w:spacing w:after="0" w:line="240" w:lineRule="auto"/>
    </w:pPr>
    <w:rPr>
      <w:rFonts w:eastAsia="Calibri"/>
      <w:bCs/>
      <w:sz w:val="24"/>
    </w:rPr>
  </w:style>
  <w:style w:type="character" w:styleId="Sledovanodkaz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orvatsko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Split</vt:lpstr>
    </vt:vector>
  </TitlesOfParts>
  <Company>HP</Company>
  <LinksUpToDate>false</LinksUpToDate>
  <CharactersWithSpaces>7280</CharactersWithSpaces>
  <SharedDoc>false</SharedDoc>
  <HLinks>
    <vt:vector size="12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http://www.chorvatsko.cz/</vt:lpwstr>
      </vt:variant>
      <vt:variant>
        <vt:lpwstr/>
      </vt:variant>
      <vt:variant>
        <vt:i4>1507446</vt:i4>
      </vt:variant>
      <vt:variant>
        <vt:i4>2210</vt:i4>
      </vt:variant>
      <vt:variant>
        <vt:i4>1025</vt:i4>
      </vt:variant>
      <vt:variant>
        <vt:i4>65537</vt:i4>
      </vt:variant>
      <vt:variant>
        <vt:lpwstr>../split_map01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Split</dc:title>
  <dc:subject/>
  <dc:creator>Starosta</dc:creator>
  <cp:keywords/>
  <cp:lastModifiedBy>Jiří Michal</cp:lastModifiedBy>
  <cp:revision>2</cp:revision>
  <dcterms:created xsi:type="dcterms:W3CDTF">2021-03-16T21:58:00Z</dcterms:created>
  <dcterms:modified xsi:type="dcterms:W3CDTF">2021-03-16T21:58:00Z</dcterms:modified>
</cp:coreProperties>
</file>